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62" w:rsidRDefault="006B6162">
      <w:r>
        <w:t>от 18.08.2021</w:t>
      </w:r>
    </w:p>
    <w:p w:rsidR="006B6162" w:rsidRDefault="006B6162"/>
    <w:p w:rsidR="006B6162" w:rsidRDefault="006B6162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6B6162" w:rsidRDefault="006B6162">
      <w:r>
        <w:t>Общество с ограниченной ответственностью «ПЕТРОЭНЕРГОПРОЕКТ» ИНН 7810454990</w:t>
      </w:r>
    </w:p>
    <w:p w:rsidR="006B6162" w:rsidRDefault="006B6162"/>
    <w:p w:rsidR="006B6162" w:rsidRDefault="006B6162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6B6162" w:rsidRDefault="006B6162">
      <w:r>
        <w:t>Общество с ограниченной ответственностью «СБ-Парадигма» ИНН 6166087712</w:t>
      </w:r>
    </w:p>
    <w:p w:rsidR="006B6162" w:rsidRDefault="006B616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B6162"/>
    <w:rsid w:val="00045D12"/>
    <w:rsid w:val="0052439B"/>
    <w:rsid w:val="006B616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